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119B4E85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03FD4494" w:rsidR="00935216" w:rsidRPr="00562636" w:rsidRDefault="00CD68D3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Второй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Третий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2835"/>
        <w:gridCol w:w="5387"/>
        <w:gridCol w:w="1701"/>
        <w:gridCol w:w="2232"/>
      </w:tblGrid>
      <w:tr w:rsidR="00847830" w14:paraId="19767788" w14:textId="77777777" w:rsidTr="00171109">
        <w:tc>
          <w:tcPr>
            <w:tcW w:w="1555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835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5387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2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365DD2" w14:paraId="1C50BDBE" w14:textId="77777777" w:rsidTr="007F0AB5">
        <w:trPr>
          <w:trHeight w:val="1932"/>
        </w:trPr>
        <w:tc>
          <w:tcPr>
            <w:tcW w:w="1555" w:type="dxa"/>
            <w:vAlign w:val="center"/>
          </w:tcPr>
          <w:p w14:paraId="70D45234" w14:textId="3A2AA2C5" w:rsidR="00365DD2" w:rsidRPr="00847830" w:rsidRDefault="00365DD2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13</w:t>
            </w: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10.2026</w:t>
            </w:r>
          </w:p>
          <w:p w14:paraId="1C627EC4" w14:textId="0A394BBA" w:rsidR="00365DD2" w:rsidRPr="00125164" w:rsidRDefault="00365DD2" w:rsidP="0084783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516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850" w:type="dxa"/>
            <w:vAlign w:val="center"/>
          </w:tcPr>
          <w:p w14:paraId="09A5F202" w14:textId="2D2CF34C" w:rsidR="00365DD2" w:rsidRPr="00847830" w:rsidRDefault="00365DD2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09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14:paraId="3E41F12C" w14:textId="7F814A7B" w:rsidR="00365DD2" w:rsidRPr="00847830" w:rsidRDefault="00365DD2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Спецвопросы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противоаварийной автоматики энергосистем</w:t>
            </w:r>
          </w:p>
        </w:tc>
        <w:tc>
          <w:tcPr>
            <w:tcW w:w="5387" w:type="dxa"/>
            <w:vAlign w:val="center"/>
          </w:tcPr>
          <w:p w14:paraId="02CDF28A" w14:textId="3600F3F2" w:rsidR="00365DD2" w:rsidRPr="00425945" w:rsidRDefault="00365DD2" w:rsidP="00CF2A26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917A2">
              <w:rPr>
                <w:rFonts w:cs="Times New Roman"/>
                <w:bCs/>
                <w:sz w:val="20"/>
                <w:szCs w:val="20"/>
              </w:rPr>
              <w:t>Автоматика предотвращения нарушения устойчивости (АПНУ) (централизованная система противоаварийной автоматики, локальный комплекс автоматики предотвращения нарушения устойчивости). Управляющие воздействия АПНУ. Анализ структурно-функциональных и принципиальных схем АПНУ и её составляющих (АРО СГО, АРКЗ, АРПМ). Выбор параметров настройки устройств АРО СГО, АРКЗ, АРПМ: практические аспекты.</w:t>
            </w:r>
          </w:p>
        </w:tc>
        <w:tc>
          <w:tcPr>
            <w:tcW w:w="1701" w:type="dxa"/>
            <w:vAlign w:val="center"/>
          </w:tcPr>
          <w:p w14:paraId="31DE4B89" w14:textId="76F23984" w:rsidR="00365DD2" w:rsidRPr="00847830" w:rsidRDefault="00365DD2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2" w:type="dxa"/>
            <w:vAlign w:val="center"/>
          </w:tcPr>
          <w:p w14:paraId="2860388A" w14:textId="2070FE23" w:rsidR="00365DD2" w:rsidRPr="00171109" w:rsidRDefault="00365DD2" w:rsidP="00171109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224DC379" w14:textId="0E65CD8B" w:rsidR="00365DD2" w:rsidRPr="00171109" w:rsidRDefault="00365DD2" w:rsidP="00171109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  <w:tr w:rsidR="005A0A08" w14:paraId="1C4CEAE8" w14:textId="77777777" w:rsidTr="00793041">
        <w:trPr>
          <w:trHeight w:val="920"/>
        </w:trPr>
        <w:tc>
          <w:tcPr>
            <w:tcW w:w="1555" w:type="dxa"/>
            <w:vAlign w:val="center"/>
          </w:tcPr>
          <w:p w14:paraId="29D01F53" w14:textId="1FD30421" w:rsidR="005A0A08" w:rsidRDefault="005A0A08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14.10.2026</w:t>
            </w:r>
          </w:p>
          <w:p w14:paraId="54AECCA1" w14:textId="670FC4A1" w:rsidR="005A0A08" w:rsidRDefault="005A0A08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850" w:type="dxa"/>
            <w:vAlign w:val="center"/>
          </w:tcPr>
          <w:p w14:paraId="50ED1BF2" w14:textId="0D210CBC" w:rsidR="005A0A08" w:rsidRDefault="005A0A08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08.00-09.35</w:t>
            </w:r>
          </w:p>
        </w:tc>
        <w:tc>
          <w:tcPr>
            <w:tcW w:w="2835" w:type="dxa"/>
            <w:vAlign w:val="center"/>
          </w:tcPr>
          <w:p w14:paraId="3355FC7D" w14:textId="5D177652" w:rsidR="005A0A08" w:rsidRDefault="00CA0F84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CA0F84">
              <w:rPr>
                <w:rFonts w:cs="Times New Roman"/>
                <w:sz w:val="20"/>
                <w:szCs w:val="20"/>
              </w:rPr>
              <w:t>Сетевая и технологическая автоматика энергосистем</w:t>
            </w:r>
          </w:p>
        </w:tc>
        <w:tc>
          <w:tcPr>
            <w:tcW w:w="5387" w:type="dxa"/>
            <w:vAlign w:val="center"/>
          </w:tcPr>
          <w:p w14:paraId="1A22AC44" w14:textId="77777777" w:rsidR="00CA0F84" w:rsidRPr="00CA0F84" w:rsidRDefault="00CA0F84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CA0F84">
              <w:rPr>
                <w:rFonts w:cs="Times New Roman"/>
                <w:bCs/>
                <w:sz w:val="20"/>
                <w:szCs w:val="20"/>
              </w:rPr>
              <w:t xml:space="preserve">Устройства </w:t>
            </w:r>
            <w:proofErr w:type="spellStart"/>
            <w:r w:rsidRPr="00CA0F84">
              <w:rPr>
                <w:rFonts w:cs="Times New Roman"/>
                <w:bCs/>
                <w:sz w:val="20"/>
                <w:szCs w:val="20"/>
              </w:rPr>
              <w:t>РЗиА</w:t>
            </w:r>
            <w:proofErr w:type="spellEnd"/>
            <w:r w:rsidRPr="00CA0F84">
              <w:rPr>
                <w:rFonts w:cs="Times New Roman"/>
                <w:bCs/>
                <w:sz w:val="20"/>
                <w:szCs w:val="20"/>
              </w:rPr>
              <w:t xml:space="preserve">, относимые к сетевой автоматике. Автоматическое повторное включение (АПВ). Назначение, область применения. Требования к устройствам АПВ. Классификация способов осуществления автоматического повторного включения, особенности применения («слепое» АПВ, АПВ с контролями напряжений на шинах/на линии, АПВ с контролем синхронизма). </w:t>
            </w:r>
          </w:p>
          <w:p w14:paraId="04C41EA1" w14:textId="3F377888" w:rsidR="005A0A08" w:rsidRPr="003E779A" w:rsidRDefault="00CA0F84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CA0F84">
              <w:rPr>
                <w:rFonts w:cs="Times New Roman"/>
                <w:bCs/>
                <w:sz w:val="20"/>
                <w:szCs w:val="20"/>
              </w:rPr>
              <w:t>Особенности реализации логики АПВ в устройствах ШЭ2607 011, ШЭ2710 511 производства НПП «</w:t>
            </w:r>
            <w:proofErr w:type="spellStart"/>
            <w:r w:rsidRPr="00CA0F84">
              <w:rPr>
                <w:rFonts w:cs="Times New Roman"/>
                <w:bCs/>
                <w:sz w:val="20"/>
                <w:szCs w:val="20"/>
              </w:rPr>
              <w:t>Экра</w:t>
            </w:r>
            <w:proofErr w:type="spellEnd"/>
            <w:r w:rsidRPr="00CA0F84">
              <w:rPr>
                <w:rFonts w:cs="Times New Roman"/>
                <w:bCs/>
                <w:sz w:val="20"/>
                <w:szCs w:val="20"/>
              </w:rPr>
              <w:t>».</w:t>
            </w:r>
          </w:p>
        </w:tc>
        <w:tc>
          <w:tcPr>
            <w:tcW w:w="1701" w:type="dxa"/>
            <w:vAlign w:val="center"/>
          </w:tcPr>
          <w:p w14:paraId="72D7CA72" w14:textId="5649CD7C" w:rsidR="005A0A08" w:rsidRDefault="005A0A08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Мурзин А.Ю.</w:t>
            </w:r>
          </w:p>
        </w:tc>
        <w:tc>
          <w:tcPr>
            <w:tcW w:w="2232" w:type="dxa"/>
            <w:vAlign w:val="center"/>
          </w:tcPr>
          <w:p w14:paraId="5B7E6DF3" w14:textId="7468B65C" w:rsidR="005A0A08" w:rsidRPr="00171109" w:rsidRDefault="005A0A08" w:rsidP="0017110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</w:t>
            </w:r>
            <w:r w:rsidR="00213FE5">
              <w:rPr>
                <w:b/>
                <w:bCs/>
                <w:sz w:val="20"/>
                <w:szCs w:val="20"/>
              </w:rPr>
              <w:t>2</w:t>
            </w:r>
            <w:r w:rsidR="001C6870">
              <w:rPr>
                <w:b/>
                <w:bCs/>
                <w:sz w:val="20"/>
                <w:szCs w:val="20"/>
              </w:rPr>
              <w:t>12А</w:t>
            </w:r>
          </w:p>
        </w:tc>
      </w:tr>
      <w:tr w:rsidR="005A0A08" w14:paraId="10C60838" w14:textId="77777777" w:rsidTr="00793041">
        <w:trPr>
          <w:trHeight w:val="920"/>
        </w:trPr>
        <w:tc>
          <w:tcPr>
            <w:tcW w:w="1555" w:type="dxa"/>
            <w:vAlign w:val="center"/>
          </w:tcPr>
          <w:p w14:paraId="0C9FF893" w14:textId="77777777" w:rsidR="005A0A08" w:rsidRDefault="00930350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16.10.2026</w:t>
            </w:r>
          </w:p>
          <w:p w14:paraId="304FF7FF" w14:textId="429AACA7" w:rsidR="00930350" w:rsidRDefault="00930350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850" w:type="dxa"/>
            <w:vAlign w:val="center"/>
          </w:tcPr>
          <w:p w14:paraId="06E9ACD5" w14:textId="788B80E5" w:rsidR="005A0A08" w:rsidRDefault="00930350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09.50-11.25</w:t>
            </w:r>
          </w:p>
        </w:tc>
        <w:tc>
          <w:tcPr>
            <w:tcW w:w="2835" w:type="dxa"/>
            <w:vAlign w:val="center"/>
          </w:tcPr>
          <w:p w14:paraId="4D982DE3" w14:textId="5D1F15F9" w:rsidR="005A0A08" w:rsidRDefault="00930350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930350">
              <w:rPr>
                <w:rFonts w:cs="Times New Roman"/>
                <w:sz w:val="20"/>
                <w:szCs w:val="20"/>
              </w:rPr>
              <w:t>Режимная автоматика</w:t>
            </w:r>
          </w:p>
        </w:tc>
        <w:tc>
          <w:tcPr>
            <w:tcW w:w="5387" w:type="dxa"/>
            <w:vAlign w:val="center"/>
          </w:tcPr>
          <w:p w14:paraId="62253461" w14:textId="38B66512" w:rsidR="005A0A08" w:rsidRPr="003E779A" w:rsidRDefault="006E6206" w:rsidP="00CF2A26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E6206">
              <w:rPr>
                <w:rFonts w:cs="Times New Roman"/>
                <w:bCs/>
                <w:sz w:val="20"/>
                <w:szCs w:val="20"/>
              </w:rPr>
              <w:t>ГОСТ Р 56969-2016 «Единая энергетическая система и изолированно работающие энергосистемы. Оперативно-диспетчерское управление. Обеспечение согласованной работы централизованных систем автоматического регулирования частоты и перетоков активной мощности и автоматики управления активной мощностью гидравлических электростанций. Нормы и требования», утвержденный приказом Росстандарта от 16.06.2016 № 647-ст</w:t>
            </w:r>
          </w:p>
        </w:tc>
        <w:tc>
          <w:tcPr>
            <w:tcW w:w="1701" w:type="dxa"/>
            <w:vAlign w:val="center"/>
          </w:tcPr>
          <w:p w14:paraId="4857620D" w14:textId="4211D107" w:rsidR="005A0A08" w:rsidRDefault="00930350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Кулешов А.И.</w:t>
            </w:r>
          </w:p>
        </w:tc>
        <w:tc>
          <w:tcPr>
            <w:tcW w:w="2232" w:type="dxa"/>
            <w:vAlign w:val="center"/>
          </w:tcPr>
          <w:p w14:paraId="5B596D61" w14:textId="6DFB5E4D" w:rsidR="005A0A08" w:rsidRDefault="00930350" w:rsidP="001711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</w:t>
            </w:r>
            <w:r w:rsidR="0049087D">
              <w:rPr>
                <w:b/>
                <w:bCs/>
                <w:sz w:val="20"/>
                <w:szCs w:val="20"/>
              </w:rPr>
              <w:t>209б</w:t>
            </w:r>
          </w:p>
        </w:tc>
      </w:tr>
    </w:tbl>
    <w:p w14:paraId="65E19802" w14:textId="77777777" w:rsidR="00847830" w:rsidRPr="006438C0" w:rsidRDefault="00847830">
      <w:pPr>
        <w:rPr>
          <w:rFonts w:cs="Times New Roman"/>
          <w:color w:val="000000" w:themeColor="text1"/>
          <w:sz w:val="20"/>
          <w:szCs w:val="20"/>
        </w:rPr>
      </w:pPr>
    </w:p>
    <w:sectPr w:rsidR="00847830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33F24" w14:textId="77777777" w:rsidR="00911CB2" w:rsidRDefault="00911CB2" w:rsidP="00562636">
      <w:pPr>
        <w:spacing w:after="0" w:line="240" w:lineRule="auto"/>
      </w:pPr>
      <w:r>
        <w:separator/>
      </w:r>
    </w:p>
  </w:endnote>
  <w:endnote w:type="continuationSeparator" w:id="0">
    <w:p w14:paraId="2D36E5EA" w14:textId="77777777" w:rsidR="00911CB2" w:rsidRDefault="00911CB2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0FB20" w14:textId="77777777" w:rsidR="00911CB2" w:rsidRDefault="00911CB2" w:rsidP="00562636">
      <w:pPr>
        <w:spacing w:after="0" w:line="240" w:lineRule="auto"/>
      </w:pPr>
      <w:r>
        <w:separator/>
      </w:r>
    </w:p>
  </w:footnote>
  <w:footnote w:type="continuationSeparator" w:id="0">
    <w:p w14:paraId="341B2631" w14:textId="77777777" w:rsidR="00911CB2" w:rsidRDefault="00911CB2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3074C"/>
    <w:rsid w:val="000917A2"/>
    <w:rsid w:val="001058AD"/>
    <w:rsid w:val="00105E86"/>
    <w:rsid w:val="00125164"/>
    <w:rsid w:val="00171109"/>
    <w:rsid w:val="001C6870"/>
    <w:rsid w:val="001E2B95"/>
    <w:rsid w:val="00213FE5"/>
    <w:rsid w:val="0021667F"/>
    <w:rsid w:val="00271327"/>
    <w:rsid w:val="002F7C35"/>
    <w:rsid w:val="0031367C"/>
    <w:rsid w:val="0031611F"/>
    <w:rsid w:val="00350085"/>
    <w:rsid w:val="00357663"/>
    <w:rsid w:val="003604B1"/>
    <w:rsid w:val="00365DD2"/>
    <w:rsid w:val="00370AAA"/>
    <w:rsid w:val="003E0AFC"/>
    <w:rsid w:val="003E779A"/>
    <w:rsid w:val="00417260"/>
    <w:rsid w:val="00425945"/>
    <w:rsid w:val="0046270B"/>
    <w:rsid w:val="0049087D"/>
    <w:rsid w:val="004935A7"/>
    <w:rsid w:val="00562636"/>
    <w:rsid w:val="005A0A08"/>
    <w:rsid w:val="006438C0"/>
    <w:rsid w:val="006D0BBE"/>
    <w:rsid w:val="006E6206"/>
    <w:rsid w:val="0075060E"/>
    <w:rsid w:val="007532FD"/>
    <w:rsid w:val="00794073"/>
    <w:rsid w:val="0079625C"/>
    <w:rsid w:val="007B5A1F"/>
    <w:rsid w:val="00847830"/>
    <w:rsid w:val="00900BBD"/>
    <w:rsid w:val="00911CB2"/>
    <w:rsid w:val="00930350"/>
    <w:rsid w:val="00935216"/>
    <w:rsid w:val="00955E30"/>
    <w:rsid w:val="009745CC"/>
    <w:rsid w:val="0097724A"/>
    <w:rsid w:val="00986438"/>
    <w:rsid w:val="009B1F18"/>
    <w:rsid w:val="009B710D"/>
    <w:rsid w:val="00A7763C"/>
    <w:rsid w:val="00AC4FC3"/>
    <w:rsid w:val="00B238E6"/>
    <w:rsid w:val="00C140D2"/>
    <w:rsid w:val="00CA0F84"/>
    <w:rsid w:val="00CD68D3"/>
    <w:rsid w:val="00CE3D45"/>
    <w:rsid w:val="00CE5FF6"/>
    <w:rsid w:val="00CF2A26"/>
    <w:rsid w:val="00D0479E"/>
    <w:rsid w:val="00D15416"/>
    <w:rsid w:val="00F43150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46</cp:revision>
  <dcterms:created xsi:type="dcterms:W3CDTF">2025-07-10T07:57:00Z</dcterms:created>
  <dcterms:modified xsi:type="dcterms:W3CDTF">2026-10-08T08:28:00Z</dcterms:modified>
</cp:coreProperties>
</file>